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231C77">
        <w:t>BP</w:t>
      </w:r>
      <w:r w:rsidR="00837AE4">
        <w:t>210</w:t>
      </w:r>
      <w:r w:rsidR="00795407">
        <w:t>8</w:t>
      </w:r>
      <w:r w:rsidR="00231C77">
        <w:t>01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231C77">
        <w:rPr>
          <w:b/>
          <w:sz w:val="16"/>
        </w:rPr>
        <w:t>01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795407">
        <w:rPr>
          <w:b/>
          <w:sz w:val="16"/>
        </w:rPr>
        <w:t>8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>
        <w:rPr>
          <w:b/>
          <w:sz w:val="16"/>
        </w:rPr>
        <w:t>1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231C77">
      <w:pPr>
        <w:pStyle w:val="Corpsdetexte"/>
        <w:spacing w:before="120"/>
        <w:ind w:right="158"/>
        <w:jc w:val="right"/>
      </w:pPr>
      <w:r>
        <w:t xml:space="preserve">BIALEK </w:t>
      </w:r>
      <w:r w:rsidR="00005D80">
        <w:rPr>
          <w:spacing w:val="-5"/>
        </w:rPr>
        <w:t xml:space="preserve"> </w:t>
      </w:r>
      <w:r>
        <w:t>AUTO</w:t>
      </w:r>
    </w:p>
    <w:p w:rsidR="00231C77" w:rsidRDefault="00231C77" w:rsidP="00231C77">
      <w:pPr>
        <w:pStyle w:val="Corpsdetexte"/>
        <w:ind w:right="156"/>
        <w:jc w:val="right"/>
        <w:rPr>
          <w:spacing w:val="-6"/>
        </w:rPr>
      </w:pPr>
      <w:r>
        <w:t>41</w:t>
      </w:r>
      <w:r w:rsidR="00005D80">
        <w:rPr>
          <w:spacing w:val="-6"/>
        </w:rPr>
        <w:t xml:space="preserve"> </w:t>
      </w:r>
      <w:r>
        <w:rPr>
          <w:spacing w:val="-6"/>
        </w:rPr>
        <w:t xml:space="preserve">Chemin de la </w:t>
      </w:r>
      <w:proofErr w:type="spellStart"/>
      <w:r>
        <w:rPr>
          <w:spacing w:val="-6"/>
        </w:rPr>
        <w:t>Campanette</w:t>
      </w:r>
      <w:proofErr w:type="spellEnd"/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>
        <w:rPr>
          <w:spacing w:val="-1"/>
        </w:rPr>
        <w:t>06800</w:t>
      </w:r>
      <w:r>
        <w:rPr>
          <w:spacing w:val="-13"/>
        </w:rPr>
        <w:t xml:space="preserve"> </w:t>
      </w:r>
      <w:r>
        <w:t>Cagnes/Mer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837AE4">
        <w:t>Prestations web</w:t>
      </w:r>
      <w:r w:rsidR="00A35306">
        <w:t xml:space="preserve"> </w:t>
      </w:r>
      <w:r w:rsidR="00795407">
        <w:t xml:space="preserve">Juillet </w:t>
      </w:r>
      <w:r w:rsidR="00A35306">
        <w:t>2021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231C77">
        <w:trPr>
          <w:trHeight w:val="2512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231C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Création de contenus multimédia (</w:t>
            </w:r>
            <w:proofErr w:type="spellStart"/>
            <w:r>
              <w:rPr>
                <w:sz w:val="24"/>
              </w:rPr>
              <w:t>Community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Managment</w:t>
            </w:r>
            <w:proofErr w:type="spellEnd"/>
            <w:r>
              <w:rPr>
                <w:sz w:val="24"/>
              </w:rPr>
              <w:t>)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30</w:t>
            </w:r>
            <w:r w:rsidR="00837AE4">
              <w:rPr>
                <w:sz w:val="24"/>
              </w:rPr>
              <w:t>0</w:t>
            </w:r>
            <w:r w:rsidR="00005D80">
              <w:rPr>
                <w:sz w:val="24"/>
              </w:rPr>
              <w:t>,00€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231C77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30</w:t>
            </w:r>
            <w:r w:rsidR="00837AE4">
              <w:rPr>
                <w:sz w:val="28"/>
              </w:rPr>
              <w:t>0</w:t>
            </w:r>
            <w:r w:rsidR="00005D80">
              <w:rPr>
                <w:sz w:val="28"/>
              </w:rPr>
              <w:t>,00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231C77"/>
    <w:rsid w:val="004E5920"/>
    <w:rsid w:val="00673283"/>
    <w:rsid w:val="00795407"/>
    <w:rsid w:val="00837AE4"/>
    <w:rsid w:val="008E5DA1"/>
    <w:rsid w:val="00A35306"/>
    <w:rsid w:val="00BC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2021-09-01T11:40:00Z</dcterms:created>
  <dcterms:modified xsi:type="dcterms:W3CDTF">2021-09-01T11:40:00Z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